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2D" w:rsidRPr="001A012C" w:rsidRDefault="00E2202D" w:rsidP="00E2202D"/>
    <w:p w:rsidR="00E2202D" w:rsidRPr="00064468" w:rsidRDefault="00E2202D" w:rsidP="00E2202D">
      <w:pPr>
        <w:pStyle w:val="HWLEOurRef"/>
        <w:rPr>
          <w:sz w:val="20"/>
          <w:szCs w:val="20"/>
          <w:vertAlign w:val="superscript"/>
        </w:rPr>
      </w:pPr>
      <w:r w:rsidRPr="00064468">
        <w:rPr>
          <w:sz w:val="20"/>
          <w:szCs w:val="20"/>
          <w:vertAlign w:val="superscript"/>
        </w:rPr>
        <w:t xml:space="preserve">Our Ref: </w:t>
      </w:r>
      <w:r w:rsidR="00051CFD">
        <w:rPr>
          <w:sz w:val="20"/>
          <w:szCs w:val="20"/>
          <w:vertAlign w:val="superscript"/>
        </w:rPr>
        <w:t>[</w:t>
      </w:r>
      <w:r w:rsidR="00051CFD" w:rsidRPr="00051CFD">
        <w:rPr>
          <w:sz w:val="20"/>
          <w:szCs w:val="20"/>
          <w:highlight w:val="yellow"/>
          <w:vertAlign w:val="superscript"/>
        </w:rPr>
        <w:t>*</w:t>
      </w:r>
      <w:r w:rsidR="00051CFD">
        <w:rPr>
          <w:sz w:val="20"/>
          <w:szCs w:val="20"/>
          <w:vertAlign w:val="superscript"/>
        </w:rPr>
        <w:t>]</w:t>
      </w:r>
    </w:p>
    <w:p w:rsidR="00E2202D" w:rsidRPr="001A012C" w:rsidRDefault="00E2202D" w:rsidP="00E2202D">
      <w:pPr>
        <w:pStyle w:val="HWLEYourRef"/>
        <w:ind w:left="0" w:firstLine="0"/>
        <w:rPr>
          <w:sz w:val="20"/>
        </w:rPr>
      </w:pPr>
    </w:p>
    <w:p w:rsidR="00E2202D" w:rsidRPr="001A012C" w:rsidRDefault="00E2202D" w:rsidP="00E2202D">
      <w:pPr>
        <w:pStyle w:val="HWLEYourRef"/>
        <w:ind w:left="0" w:firstLine="0"/>
        <w:rPr>
          <w:sz w:val="20"/>
        </w:rPr>
      </w:pPr>
    </w:p>
    <w:p w:rsidR="00E2202D" w:rsidRPr="001A012C" w:rsidRDefault="00051CFD" w:rsidP="00E2202D">
      <w:pPr>
        <w:pStyle w:val="Date"/>
        <w:rPr>
          <w:color w:val="000000"/>
        </w:rPr>
      </w:pPr>
      <w:r>
        <w:t>[</w:t>
      </w:r>
      <w:r w:rsidRPr="00051CFD">
        <w:rPr>
          <w:highlight w:val="yellow"/>
        </w:rPr>
        <w:t>Insert Date</w:t>
      </w:r>
      <w:r>
        <w:t>]</w:t>
      </w:r>
    </w:p>
    <w:p w:rsidR="00E2202D" w:rsidRPr="001A012C" w:rsidRDefault="00E2202D" w:rsidP="00E2202D">
      <w:pPr>
        <w:adjustRightInd w:val="0"/>
      </w:pPr>
    </w:p>
    <w:p w:rsidR="00E2202D" w:rsidRPr="001A012C" w:rsidRDefault="00E2202D" w:rsidP="00E2202D">
      <w:pPr>
        <w:adjustRightInd w:val="0"/>
        <w:rPr>
          <w:color w:val="000000"/>
        </w:rPr>
      </w:pPr>
    </w:p>
    <w:tbl>
      <w:tblPr>
        <w:tblW w:w="0" w:type="auto"/>
        <w:tblLayout w:type="fixed"/>
        <w:tblLook w:val="04A0" w:firstRow="1" w:lastRow="0" w:firstColumn="1" w:lastColumn="0" w:noHBand="0" w:noVBand="1"/>
      </w:tblPr>
      <w:tblGrid>
        <w:gridCol w:w="4928"/>
        <w:gridCol w:w="3544"/>
      </w:tblGrid>
      <w:tr w:rsidR="00E2202D" w:rsidRPr="001A012C" w:rsidTr="002B7396">
        <w:tc>
          <w:tcPr>
            <w:tcW w:w="4928" w:type="dxa"/>
            <w:shd w:val="clear" w:color="auto" w:fill="auto"/>
          </w:tcPr>
          <w:p w:rsidR="00E2202D" w:rsidRPr="001A012C" w:rsidRDefault="00051CFD" w:rsidP="002B7396">
            <w:r>
              <w:t>[</w:t>
            </w:r>
            <w:r w:rsidRPr="00051CFD">
              <w:rPr>
                <w:highlight w:val="yellow"/>
              </w:rPr>
              <w:t>Insert Listing Advisor’s Name]</w:t>
            </w:r>
          </w:p>
          <w:p w:rsidR="00E2202D" w:rsidRPr="001A012C" w:rsidRDefault="00051CFD" w:rsidP="002B7396">
            <w:r>
              <w:t>[</w:t>
            </w:r>
            <w:r w:rsidRPr="00051CFD">
              <w:rPr>
                <w:highlight w:val="yellow"/>
              </w:rPr>
              <w:t>Insert title</w:t>
            </w:r>
            <w:r>
              <w:t>]</w:t>
            </w:r>
          </w:p>
          <w:p w:rsidR="00E2202D" w:rsidRPr="001A012C" w:rsidRDefault="00E2202D" w:rsidP="002B7396">
            <w:r w:rsidRPr="001A012C">
              <w:t>ASX Compliance Pty Ltd</w:t>
            </w:r>
          </w:p>
          <w:p w:rsidR="00E2202D" w:rsidRPr="001A012C" w:rsidRDefault="00E2202D" w:rsidP="002B7396">
            <w:r w:rsidRPr="001A012C">
              <w:t>20 Bridge Street</w:t>
            </w:r>
          </w:p>
          <w:p w:rsidR="00E2202D" w:rsidRPr="00696657" w:rsidRDefault="00E2202D" w:rsidP="002B7396">
            <w:proofErr w:type="gramStart"/>
            <w:r w:rsidRPr="001A012C">
              <w:t>SYDNEY  NSW</w:t>
            </w:r>
            <w:proofErr w:type="gramEnd"/>
            <w:r w:rsidRPr="001A012C">
              <w:t xml:space="preserve">  2000</w:t>
            </w:r>
          </w:p>
        </w:tc>
        <w:tc>
          <w:tcPr>
            <w:tcW w:w="3544" w:type="dxa"/>
            <w:shd w:val="clear" w:color="auto" w:fill="auto"/>
            <w:vAlign w:val="bottom"/>
          </w:tcPr>
          <w:p w:rsidR="00E2202D" w:rsidRPr="001A012C" w:rsidRDefault="00E2202D" w:rsidP="002B7396">
            <w:pPr>
              <w:adjustRightInd w:val="0"/>
              <w:rPr>
                <w:b/>
                <w:color w:val="000000"/>
              </w:rPr>
            </w:pPr>
          </w:p>
          <w:p w:rsidR="00E2202D" w:rsidRPr="000A6F26" w:rsidRDefault="00E2202D" w:rsidP="002B7396">
            <w:pPr>
              <w:adjustRightInd w:val="0"/>
              <w:jc w:val="right"/>
              <w:rPr>
                <w:b/>
                <w:color w:val="000000"/>
              </w:rPr>
            </w:pPr>
            <w:r>
              <w:rPr>
                <w:b/>
              </w:rPr>
              <w:t>NOT FOR PUBLIC RELEASE</w:t>
            </w:r>
          </w:p>
        </w:tc>
      </w:tr>
    </w:tbl>
    <w:p w:rsidR="00E2202D" w:rsidRPr="001A012C" w:rsidRDefault="00E2202D" w:rsidP="00E2202D">
      <w:pPr>
        <w:adjustRightInd w:val="0"/>
        <w:rPr>
          <w:color w:val="000000"/>
        </w:rPr>
      </w:pPr>
    </w:p>
    <w:p w:rsidR="00E2202D" w:rsidRDefault="00E2202D" w:rsidP="00E2202D">
      <w:pPr>
        <w:jc w:val="both"/>
        <w:rPr>
          <w:b/>
        </w:rPr>
      </w:pPr>
      <w:r>
        <w:rPr>
          <w:b/>
        </w:rPr>
        <w:t>BY EMAIL</w:t>
      </w:r>
    </w:p>
    <w:p w:rsidR="00E2202D" w:rsidRPr="001A012C" w:rsidRDefault="00E2202D" w:rsidP="00E2202D">
      <w:pPr>
        <w:jc w:val="both"/>
      </w:pPr>
    </w:p>
    <w:p w:rsidR="00E2202D" w:rsidRPr="001A012C" w:rsidRDefault="00E2202D" w:rsidP="00E2202D">
      <w:pPr>
        <w:rPr>
          <w:color w:val="000000"/>
        </w:rPr>
      </w:pPr>
      <w:r w:rsidRPr="001A012C">
        <w:t xml:space="preserve">Dear </w:t>
      </w:r>
      <w:r w:rsidR="00051CFD">
        <w:t>[</w:t>
      </w:r>
      <w:r w:rsidR="00051CFD" w:rsidRPr="00051CFD">
        <w:rPr>
          <w:highlight w:val="yellow"/>
        </w:rPr>
        <w:t>Insert</w:t>
      </w:r>
      <w:r w:rsidR="00051CFD">
        <w:t>]</w:t>
      </w:r>
      <w:r>
        <w:t>,</w:t>
      </w:r>
    </w:p>
    <w:p w:rsidR="00E2202D" w:rsidRPr="001A012C" w:rsidRDefault="00E2202D" w:rsidP="00E2202D">
      <w:pPr>
        <w:rPr>
          <w:color w:val="000000"/>
        </w:rPr>
      </w:pPr>
    </w:p>
    <w:p w:rsidR="00E2202D" w:rsidRPr="001A012C" w:rsidRDefault="00051CFD" w:rsidP="00E2202D">
      <w:pPr>
        <w:rPr>
          <w:b/>
          <w:bCs/>
          <w:color w:val="000000"/>
        </w:rPr>
      </w:pPr>
      <w:r>
        <w:rPr>
          <w:b/>
          <w:bCs/>
        </w:rPr>
        <w:t>[</w:t>
      </w:r>
      <w:r w:rsidRPr="00051CFD">
        <w:rPr>
          <w:b/>
          <w:bCs/>
          <w:highlight w:val="yellow"/>
        </w:rPr>
        <w:t>Insert Company Name</w:t>
      </w:r>
      <w:r>
        <w:rPr>
          <w:b/>
          <w:bCs/>
        </w:rPr>
        <w:t>]</w:t>
      </w:r>
      <w:r w:rsidR="00E2202D" w:rsidRPr="00696657">
        <w:rPr>
          <w:b/>
          <w:bCs/>
        </w:rPr>
        <w:t xml:space="preserve"> (</w:t>
      </w:r>
      <w:proofErr w:type="gramStart"/>
      <w:r w:rsidR="00E2202D" w:rsidRPr="00696657">
        <w:rPr>
          <w:b/>
          <w:bCs/>
        </w:rPr>
        <w:t>ASX:</w:t>
      </w:r>
      <w:r>
        <w:rPr>
          <w:b/>
          <w:bCs/>
        </w:rPr>
        <w:t>[</w:t>
      </w:r>
      <w:proofErr w:type="gramEnd"/>
      <w:r w:rsidRPr="00051CFD">
        <w:rPr>
          <w:b/>
          <w:bCs/>
          <w:highlight w:val="yellow"/>
        </w:rPr>
        <w:t>Insert ASX Code</w:t>
      </w:r>
      <w:r>
        <w:rPr>
          <w:b/>
          <w:bCs/>
        </w:rPr>
        <w:t>]</w:t>
      </w:r>
      <w:r w:rsidR="00E2202D" w:rsidRPr="00696657">
        <w:rPr>
          <w:b/>
          <w:bCs/>
        </w:rPr>
        <w:t>)</w:t>
      </w:r>
      <w:r w:rsidR="00E2202D" w:rsidRPr="001A012C">
        <w:rPr>
          <w:b/>
          <w:bCs/>
        </w:rPr>
        <w:t xml:space="preserve"> (Company)</w:t>
      </w:r>
    </w:p>
    <w:p w:rsidR="00E2202D" w:rsidRPr="001A012C" w:rsidRDefault="00E2202D" w:rsidP="00E2202D">
      <w:pPr>
        <w:rPr>
          <w:b/>
          <w:bCs/>
        </w:rPr>
      </w:pPr>
      <w:r>
        <w:rPr>
          <w:b/>
          <w:bCs/>
        </w:rPr>
        <w:t>Standard Waiver Request in respect of</w:t>
      </w:r>
      <w:r w:rsidRPr="001A012C">
        <w:rPr>
          <w:b/>
          <w:bCs/>
        </w:rPr>
        <w:t xml:space="preserve"> the application of ASX Listing Rules </w:t>
      </w:r>
      <w:r>
        <w:rPr>
          <w:b/>
          <w:bCs/>
        </w:rPr>
        <w:t>6.24</w:t>
      </w:r>
    </w:p>
    <w:p w:rsidR="00E2202D" w:rsidRPr="001A012C" w:rsidRDefault="00E2202D" w:rsidP="00E2202D">
      <w:pPr>
        <w:pStyle w:val="HWLELvl1"/>
        <w:rPr>
          <w:rFonts w:cs="Arial"/>
          <w:b/>
          <w:szCs w:val="20"/>
        </w:rPr>
      </w:pPr>
      <w:bookmarkStart w:id="0" w:name="TypeHere"/>
      <w:bookmarkEnd w:id="0"/>
      <w:r w:rsidRPr="001A012C">
        <w:rPr>
          <w:rFonts w:cs="Arial"/>
          <w:b/>
          <w:szCs w:val="20"/>
        </w:rPr>
        <w:t>Background</w:t>
      </w:r>
    </w:p>
    <w:p w:rsidR="00E2202D" w:rsidRPr="001A012C" w:rsidRDefault="00E2202D" w:rsidP="00E2202D">
      <w:pPr>
        <w:pStyle w:val="HWLELvl2"/>
        <w:jc w:val="both"/>
      </w:pPr>
      <w:r w:rsidRPr="001A012C">
        <w:t>The Company is admitted to the official list of ASX and</w:t>
      </w:r>
      <w:r>
        <w:t xml:space="preserve"> </w:t>
      </w:r>
      <w:r w:rsidRPr="0097623F">
        <w:t>is a</w:t>
      </w:r>
      <w:r w:rsidR="00CD3893">
        <w:t xml:space="preserve"> Listed Investment Company with a portfolio focusing on [</w:t>
      </w:r>
      <w:r w:rsidR="00CD3893" w:rsidRPr="00CD3893">
        <w:rPr>
          <w:highlight w:val="yellow"/>
        </w:rPr>
        <w:t>Insert Portfolio focus</w:t>
      </w:r>
      <w:r w:rsidR="00CD3893">
        <w:t>]</w:t>
      </w:r>
      <w:r w:rsidRPr="0097623F">
        <w:t xml:space="preserve">. </w:t>
      </w:r>
    </w:p>
    <w:p w:rsidR="00E2202D" w:rsidRDefault="00E2202D" w:rsidP="00E2202D">
      <w:pPr>
        <w:pStyle w:val="HWLELvl2"/>
        <w:jc w:val="both"/>
      </w:pPr>
      <w:r>
        <w:t xml:space="preserve">The Company has </w:t>
      </w:r>
      <w:r w:rsidR="00CD3893">
        <w:t>[</w:t>
      </w:r>
      <w:r w:rsidR="00CD3893" w:rsidRPr="00CD3893">
        <w:rPr>
          <w:highlight w:val="yellow"/>
        </w:rPr>
        <w:t>#</w:t>
      </w:r>
      <w:r w:rsidR="00CD3893">
        <w:t>]</w:t>
      </w:r>
      <w:r>
        <w:t xml:space="preserve"> quoted options exercisable at </w:t>
      </w:r>
      <w:r w:rsidR="00CD14C1">
        <w:t>[</w:t>
      </w:r>
      <w:r w:rsidRPr="00CD14C1">
        <w:rPr>
          <w:highlight w:val="yellow"/>
        </w:rPr>
        <w:t>$</w:t>
      </w:r>
      <w:proofErr w:type="gramStart"/>
      <w:r w:rsidR="00CD14C1" w:rsidRPr="00CD14C1">
        <w:rPr>
          <w:highlight w:val="yellow"/>
        </w:rPr>
        <w:t>*.*</w:t>
      </w:r>
      <w:proofErr w:type="gramEnd"/>
      <w:r w:rsidR="00CD14C1" w:rsidRPr="00CD14C1">
        <w:rPr>
          <w:highlight w:val="yellow"/>
        </w:rPr>
        <w:t>*</w:t>
      </w:r>
      <w:r w:rsidR="00CD14C1">
        <w:t>]</w:t>
      </w:r>
      <w:r>
        <w:t xml:space="preserve"> on or before </w:t>
      </w:r>
      <w:r w:rsidR="00CD14C1">
        <w:t>[</w:t>
      </w:r>
      <w:r w:rsidR="00CD14C1" w:rsidRPr="00CD14C1">
        <w:rPr>
          <w:highlight w:val="yellow"/>
        </w:rPr>
        <w:t>Insert Expiry Date</w:t>
      </w:r>
      <w:r w:rsidR="00CD14C1">
        <w:t>]</w:t>
      </w:r>
      <w:r>
        <w:t xml:space="preserve"> (ASX:</w:t>
      </w:r>
      <w:r w:rsidR="00CD14C1">
        <w:t>[</w:t>
      </w:r>
      <w:r w:rsidR="00CD14C1" w:rsidRPr="00CD14C1">
        <w:rPr>
          <w:highlight w:val="yellow"/>
        </w:rPr>
        <w:t>Insert ASX Code of Options</w:t>
      </w:r>
      <w:r w:rsidR="00CD14C1">
        <w:t>]</w:t>
      </w:r>
      <w:r>
        <w:t>) (</w:t>
      </w:r>
      <w:r>
        <w:rPr>
          <w:b/>
        </w:rPr>
        <w:t>Listed Options</w:t>
      </w:r>
      <w:r>
        <w:t>).</w:t>
      </w:r>
    </w:p>
    <w:p w:rsidR="00E2202D" w:rsidRPr="00D4055D" w:rsidRDefault="00E2202D" w:rsidP="00E2202D">
      <w:pPr>
        <w:pStyle w:val="HWLELvl1"/>
        <w:jc w:val="both"/>
        <w:rPr>
          <w:rFonts w:cs="Arial"/>
          <w:b/>
          <w:szCs w:val="20"/>
        </w:rPr>
      </w:pPr>
      <w:r w:rsidRPr="00D4055D">
        <w:rPr>
          <w:rFonts w:cs="Arial"/>
          <w:b/>
          <w:szCs w:val="20"/>
        </w:rPr>
        <w:t>Standard Waiver Request</w:t>
      </w:r>
    </w:p>
    <w:p w:rsidR="00E2202D" w:rsidRDefault="00E2202D" w:rsidP="00E2202D">
      <w:pPr>
        <w:pStyle w:val="HWLELvl2"/>
        <w:jc w:val="both"/>
      </w:pPr>
      <w:r w:rsidRPr="001A012C">
        <w:t xml:space="preserve">The Company acknowledges that </w:t>
      </w:r>
      <w:r>
        <w:t>the Company must comply with Appendix 6A pursuant to Listing Rule 6.24.</w:t>
      </w:r>
    </w:p>
    <w:p w:rsidR="00E2202D" w:rsidRDefault="00E2202D" w:rsidP="00E2202D">
      <w:pPr>
        <w:pStyle w:val="HWLELvl2"/>
        <w:jc w:val="both"/>
      </w:pPr>
      <w:r>
        <w:t>The Company is seeking a Standard Waiver of Listing Rule 6.24 to seek relief from the Requirement for the Company to send notices required by paragraph 6.1 of Appendix 6A in relation to quoted options due to expire.</w:t>
      </w:r>
    </w:p>
    <w:p w:rsidR="00E2202D" w:rsidRDefault="00E2202D" w:rsidP="00E2202D">
      <w:pPr>
        <w:pStyle w:val="HWLELvl2"/>
        <w:jc w:val="both"/>
      </w:pPr>
      <w:r w:rsidRPr="001A012C">
        <w:t>To assist the ASX in making its determinations, we set out below further background information and our submissions in respect of the</w:t>
      </w:r>
      <w:r>
        <w:t xml:space="preserve"> Standard Waiver</w:t>
      </w:r>
      <w:r w:rsidRPr="001A012C">
        <w:t xml:space="preserve"> sought by the Company.</w:t>
      </w:r>
    </w:p>
    <w:p w:rsidR="00E2202D" w:rsidRPr="001A012C" w:rsidRDefault="00E2202D" w:rsidP="00E2202D">
      <w:pPr>
        <w:pStyle w:val="HWLELvl1"/>
        <w:jc w:val="both"/>
        <w:rPr>
          <w:rFonts w:cs="Arial"/>
          <w:b/>
          <w:szCs w:val="20"/>
        </w:rPr>
      </w:pPr>
      <w:bookmarkStart w:id="1" w:name=".1"/>
      <w:bookmarkStart w:id="2" w:name=".2"/>
      <w:bookmarkStart w:id="3" w:name=".3"/>
      <w:bookmarkStart w:id="4" w:name=".3/item1"/>
      <w:bookmarkStart w:id="5" w:name=".3/item2"/>
      <w:bookmarkStart w:id="6" w:name=".3/item3"/>
      <w:bookmarkStart w:id="7" w:name="io633858sl21208668"/>
      <w:bookmarkStart w:id="8" w:name="io633858sl21208669"/>
      <w:bookmarkStart w:id="9" w:name="io633858sl21208667UUpUU1"/>
      <w:bookmarkStart w:id="10" w:name="io633858sl21208670"/>
      <w:bookmarkStart w:id="11" w:name="io633858sl21208667UUpUU2"/>
      <w:bookmarkStart w:id="12" w:name="io633858sl21208667UUpUU3"/>
      <w:bookmarkEnd w:id="1"/>
      <w:bookmarkEnd w:id="2"/>
      <w:bookmarkEnd w:id="3"/>
      <w:bookmarkEnd w:id="4"/>
      <w:bookmarkEnd w:id="5"/>
      <w:bookmarkEnd w:id="6"/>
      <w:bookmarkEnd w:id="7"/>
      <w:bookmarkEnd w:id="8"/>
      <w:bookmarkEnd w:id="9"/>
      <w:bookmarkEnd w:id="10"/>
      <w:bookmarkEnd w:id="11"/>
      <w:bookmarkEnd w:id="12"/>
      <w:r>
        <w:rPr>
          <w:rFonts w:cs="Arial"/>
          <w:b/>
          <w:szCs w:val="20"/>
        </w:rPr>
        <w:t>Guidance Note 17 – Annexure: Standard Waiver Request</w:t>
      </w:r>
      <w:r w:rsidRPr="001A012C">
        <w:rPr>
          <w:rFonts w:cs="Arial"/>
          <w:b/>
          <w:szCs w:val="20"/>
        </w:rPr>
        <w:t xml:space="preserve"> </w:t>
      </w:r>
    </w:p>
    <w:p w:rsidR="00E2202D" w:rsidRPr="00CF37EC" w:rsidRDefault="00E2202D" w:rsidP="00E2202D">
      <w:pPr>
        <w:pStyle w:val="HWLELvl2"/>
        <w:jc w:val="both"/>
        <w:rPr>
          <w:color w:val="000000"/>
        </w:rPr>
      </w:pPr>
      <w:r w:rsidRPr="001A012C">
        <w:t xml:space="preserve">ASX Guidance Note </w:t>
      </w:r>
      <w:r>
        <w:t>17</w:t>
      </w:r>
      <w:r w:rsidRPr="001A012C">
        <w:t xml:space="preserve"> (</w:t>
      </w:r>
      <w:r>
        <w:rPr>
          <w:i/>
        </w:rPr>
        <w:t>Waivers and In-Principle Advice</w:t>
      </w:r>
      <w:r w:rsidRPr="001A012C">
        <w:t>)</w:t>
      </w:r>
      <w:r>
        <w:t xml:space="preserve"> – Annexure: Standard Waiver Request</w:t>
      </w:r>
      <w:r w:rsidRPr="001A012C">
        <w:t xml:space="preserve"> provides as follows:</w:t>
      </w:r>
    </w:p>
    <w:p w:rsidR="00E2202D" w:rsidRPr="00CF37EC" w:rsidRDefault="00E2202D" w:rsidP="00E2202D">
      <w:pPr>
        <w:pStyle w:val="HWLELvl2"/>
        <w:numPr>
          <w:ilvl w:val="0"/>
          <w:numId w:val="0"/>
        </w:numPr>
        <w:ind w:left="709"/>
        <w:jc w:val="both"/>
        <w:rPr>
          <w:i/>
          <w:color w:val="000000"/>
        </w:rPr>
      </w:pPr>
      <w:r>
        <w:rPr>
          <w:color w:val="000000"/>
        </w:rPr>
        <w:t>“</w:t>
      </w:r>
      <w:r>
        <w:rPr>
          <w:i/>
          <w:color w:val="000000"/>
        </w:rPr>
        <w:t xml:space="preserve">a waiver from Listing Rule 6.24 to permit an entity not to send the notices required by paragraph 6.1 of Appendix 6A in relation to quoted options about to expire, where the options are substantially out of the money (that is, where the current market price for the underlying security is less than 50% of the option exercise price and the highest market </w:t>
      </w:r>
      <w:bookmarkStart w:id="13" w:name="_GoBack"/>
      <w:bookmarkEnd w:id="13"/>
      <w:r>
        <w:rPr>
          <w:i/>
          <w:color w:val="000000"/>
        </w:rPr>
        <w:lastRenderedPageBreak/>
        <w:t>price at which the underlying security as traded on ASX in the last 6 months is less than 75% of the option exercise price).”</w:t>
      </w:r>
    </w:p>
    <w:p w:rsidR="00E2202D" w:rsidRPr="001A012C" w:rsidRDefault="00E2202D" w:rsidP="00E2202D">
      <w:pPr>
        <w:pStyle w:val="HWLELvl1"/>
        <w:jc w:val="both"/>
        <w:rPr>
          <w:lang w:val="en-US"/>
        </w:rPr>
      </w:pPr>
      <w:r>
        <w:rPr>
          <w:rFonts w:cs="Arial"/>
          <w:b/>
          <w:szCs w:val="20"/>
        </w:rPr>
        <w:t>Standard Waiver Submission</w:t>
      </w:r>
    </w:p>
    <w:p w:rsidR="00E2202D" w:rsidRPr="009C1D3C" w:rsidRDefault="00E2202D" w:rsidP="00E2202D">
      <w:pPr>
        <w:pStyle w:val="HWLELvl2"/>
        <w:jc w:val="both"/>
      </w:pPr>
      <w:bookmarkStart w:id="14" w:name="_Ref481497309"/>
      <w:r>
        <w:rPr>
          <w:lang w:val="en-US"/>
        </w:rPr>
        <w:t xml:space="preserve">As at the date of this letter, the Company’s securities are trading at </w:t>
      </w:r>
      <w:r w:rsidR="00037A3F">
        <w:t>[</w:t>
      </w:r>
      <w:r w:rsidR="00037A3F" w:rsidRPr="00CD14C1">
        <w:rPr>
          <w:highlight w:val="yellow"/>
        </w:rPr>
        <w:t>$</w:t>
      </w:r>
      <w:proofErr w:type="gramStart"/>
      <w:r w:rsidR="00037A3F" w:rsidRPr="00CD14C1">
        <w:rPr>
          <w:highlight w:val="yellow"/>
        </w:rPr>
        <w:t>*.*</w:t>
      </w:r>
      <w:proofErr w:type="gramEnd"/>
      <w:r w:rsidR="00037A3F" w:rsidRPr="00CD14C1">
        <w:rPr>
          <w:highlight w:val="yellow"/>
        </w:rPr>
        <w:t>*</w:t>
      </w:r>
      <w:r w:rsidR="00037A3F">
        <w:t xml:space="preserve">] </w:t>
      </w:r>
      <w:r>
        <w:rPr>
          <w:lang w:val="en-US"/>
        </w:rPr>
        <w:t xml:space="preserve"> (</w:t>
      </w:r>
      <w:r w:rsidR="00037A3F">
        <w:rPr>
          <w:lang w:val="en-US"/>
        </w:rPr>
        <w:t>[</w:t>
      </w:r>
      <w:r w:rsidR="00A30767">
        <w:rPr>
          <w:highlight w:val="yellow"/>
          <w:lang w:val="en-US"/>
        </w:rPr>
        <w:t>#</w:t>
      </w:r>
      <w:r w:rsidRPr="00037A3F">
        <w:rPr>
          <w:highlight w:val="yellow"/>
          <w:lang w:val="en-US"/>
        </w:rPr>
        <w:t>%</w:t>
      </w:r>
      <w:r w:rsidR="00037A3F">
        <w:rPr>
          <w:lang w:val="en-US"/>
        </w:rPr>
        <w:t>]</w:t>
      </w:r>
      <w:r>
        <w:rPr>
          <w:lang w:val="en-US"/>
        </w:rPr>
        <w:t xml:space="preserve"> of the option exercise price).</w:t>
      </w:r>
      <w:bookmarkEnd w:id="14"/>
    </w:p>
    <w:p w:rsidR="00E2202D" w:rsidRPr="009B3E71" w:rsidRDefault="00E2202D" w:rsidP="00E2202D">
      <w:pPr>
        <w:pStyle w:val="HWLELvl2"/>
        <w:jc w:val="both"/>
      </w:pPr>
      <w:r>
        <w:rPr>
          <w:lang w:val="en-US"/>
        </w:rPr>
        <w:t xml:space="preserve">The current market price for the underlying security is less than 50% of the option exercise price of </w:t>
      </w:r>
      <w:r w:rsidR="00037A3F">
        <w:t>[</w:t>
      </w:r>
      <w:r w:rsidR="00037A3F" w:rsidRPr="00CD14C1">
        <w:rPr>
          <w:highlight w:val="yellow"/>
        </w:rPr>
        <w:t>$</w:t>
      </w:r>
      <w:proofErr w:type="gramStart"/>
      <w:r w:rsidR="00037A3F" w:rsidRPr="00CD14C1">
        <w:rPr>
          <w:highlight w:val="yellow"/>
        </w:rPr>
        <w:t>*.*</w:t>
      </w:r>
      <w:proofErr w:type="gramEnd"/>
      <w:r w:rsidR="00037A3F" w:rsidRPr="00CD14C1">
        <w:rPr>
          <w:highlight w:val="yellow"/>
        </w:rPr>
        <w:t>*</w:t>
      </w:r>
      <w:r w:rsidR="00037A3F">
        <w:t>]</w:t>
      </w:r>
      <w:r>
        <w:rPr>
          <w:lang w:val="en-US"/>
        </w:rPr>
        <w:t>.</w:t>
      </w:r>
    </w:p>
    <w:p w:rsidR="00E2202D" w:rsidRPr="001237A9" w:rsidRDefault="00E2202D" w:rsidP="00E2202D">
      <w:pPr>
        <w:pStyle w:val="HWLELvl2"/>
        <w:jc w:val="both"/>
      </w:pPr>
      <w:r>
        <w:rPr>
          <w:lang w:val="en-US"/>
        </w:rPr>
        <w:t xml:space="preserve">The highest market price at which the underlying security as traded on ASX in the last 6 months was </w:t>
      </w:r>
      <w:r w:rsidR="00037A3F">
        <w:t>[</w:t>
      </w:r>
      <w:r w:rsidR="00037A3F" w:rsidRPr="00CD14C1">
        <w:rPr>
          <w:highlight w:val="yellow"/>
        </w:rPr>
        <w:t>$</w:t>
      </w:r>
      <w:proofErr w:type="gramStart"/>
      <w:r w:rsidR="00037A3F" w:rsidRPr="00CD14C1">
        <w:rPr>
          <w:highlight w:val="yellow"/>
        </w:rPr>
        <w:t>*.*</w:t>
      </w:r>
      <w:proofErr w:type="gramEnd"/>
      <w:r w:rsidR="00037A3F" w:rsidRPr="00CD14C1">
        <w:rPr>
          <w:highlight w:val="yellow"/>
        </w:rPr>
        <w:t>*</w:t>
      </w:r>
      <w:r w:rsidR="00037A3F">
        <w:t xml:space="preserve">] </w:t>
      </w:r>
      <w:r>
        <w:rPr>
          <w:lang w:val="en-US"/>
        </w:rPr>
        <w:t xml:space="preserve"> (</w:t>
      </w:r>
      <w:r w:rsidR="00A30767">
        <w:rPr>
          <w:lang w:val="en-US"/>
        </w:rPr>
        <w:t>[</w:t>
      </w:r>
      <w:r w:rsidR="00A30767">
        <w:rPr>
          <w:highlight w:val="yellow"/>
          <w:lang w:val="en-US"/>
        </w:rPr>
        <w:t>#</w:t>
      </w:r>
      <w:r w:rsidR="00A30767" w:rsidRPr="00037A3F">
        <w:rPr>
          <w:highlight w:val="yellow"/>
          <w:lang w:val="en-US"/>
        </w:rPr>
        <w:t>%</w:t>
      </w:r>
      <w:r w:rsidR="00A30767">
        <w:rPr>
          <w:lang w:val="en-US"/>
        </w:rPr>
        <w:t>]</w:t>
      </w:r>
      <w:r>
        <w:rPr>
          <w:lang w:val="en-US"/>
        </w:rPr>
        <w:t xml:space="preserve"> of the options exercise price).</w:t>
      </w:r>
    </w:p>
    <w:p w:rsidR="00E2202D" w:rsidRPr="00151989" w:rsidRDefault="00E2202D" w:rsidP="00E2202D">
      <w:pPr>
        <w:pStyle w:val="HWLELvl2"/>
        <w:jc w:val="both"/>
      </w:pPr>
      <w:bookmarkStart w:id="15" w:name="_Ref481497314"/>
      <w:r>
        <w:rPr>
          <w:lang w:val="en-US"/>
        </w:rPr>
        <w:t>The highest market price at which the underlying security as traded on ASX in the last 6 months was less than 75% of the option exercise price.</w:t>
      </w:r>
      <w:bookmarkEnd w:id="15"/>
    </w:p>
    <w:p w:rsidR="00E2202D" w:rsidRPr="001A012C" w:rsidRDefault="00E2202D" w:rsidP="00E2202D">
      <w:pPr>
        <w:pStyle w:val="HWLELvl2"/>
        <w:autoSpaceDE w:val="0"/>
        <w:autoSpaceDN w:val="0"/>
        <w:adjustRightInd w:val="0"/>
        <w:spacing w:line="240" w:lineRule="auto"/>
        <w:jc w:val="both"/>
      </w:pPr>
      <w:r w:rsidRPr="001A012C">
        <w:t xml:space="preserve">We submit that </w:t>
      </w:r>
      <w:r>
        <w:fldChar w:fldCharType="begin"/>
      </w:r>
      <w:r>
        <w:instrText xml:space="preserve"> REF _Ref481497309 \r \h </w:instrText>
      </w:r>
      <w:r>
        <w:fldChar w:fldCharType="separate"/>
      </w:r>
      <w:r>
        <w:t>4.1</w:t>
      </w:r>
      <w:r>
        <w:fldChar w:fldCharType="end"/>
      </w:r>
      <w:r>
        <w:t xml:space="preserve"> to </w:t>
      </w:r>
      <w:r>
        <w:fldChar w:fldCharType="begin"/>
      </w:r>
      <w:r>
        <w:instrText xml:space="preserve"> REF _Ref481497314 \r \h </w:instrText>
      </w:r>
      <w:r>
        <w:fldChar w:fldCharType="separate"/>
      </w:r>
      <w:r>
        <w:t>4.4</w:t>
      </w:r>
      <w:r>
        <w:fldChar w:fldCharType="end"/>
      </w:r>
      <w:r>
        <w:t xml:space="preserve"> above demonstrate that the Listed Options are substantially out of the money and that a Standard Waiver should apply</w:t>
      </w:r>
      <w:r w:rsidRPr="001A012C">
        <w:t>.</w:t>
      </w:r>
    </w:p>
    <w:p w:rsidR="00E2202D" w:rsidRPr="001A012C" w:rsidRDefault="00E2202D" w:rsidP="00E2202D">
      <w:pPr>
        <w:pStyle w:val="HWLELvl1"/>
        <w:jc w:val="both"/>
        <w:rPr>
          <w:rFonts w:cs="Arial"/>
          <w:b/>
          <w:szCs w:val="20"/>
        </w:rPr>
      </w:pPr>
      <w:r w:rsidRPr="001A012C">
        <w:rPr>
          <w:rFonts w:cs="Arial"/>
          <w:b/>
          <w:szCs w:val="20"/>
        </w:rPr>
        <w:t xml:space="preserve">Further information </w:t>
      </w:r>
    </w:p>
    <w:p w:rsidR="00E2202D" w:rsidRPr="00064468" w:rsidRDefault="00E2202D" w:rsidP="00E2202D">
      <w:pPr>
        <w:pStyle w:val="HWLELvl2"/>
        <w:numPr>
          <w:ilvl w:val="0"/>
          <w:numId w:val="0"/>
        </w:numPr>
        <w:ind w:left="709"/>
        <w:jc w:val="both"/>
      </w:pPr>
      <w:r w:rsidRPr="001A012C">
        <w:t>Given the importance of this matter</w:t>
      </w:r>
      <w:r>
        <w:t xml:space="preserve"> and the significant cost in complete ting a mail out given the options are substantially out of the money</w:t>
      </w:r>
      <w:r w:rsidRPr="001A012C">
        <w:t xml:space="preserve">, if there are likely to be any difficulties with the grant of the </w:t>
      </w:r>
      <w:r>
        <w:t>Standard Waiver</w:t>
      </w:r>
      <w:r w:rsidRPr="001A012C">
        <w:t>, we would appreciate the opportunity to make further submissions to ASX.</w:t>
      </w:r>
    </w:p>
    <w:p w:rsidR="00E2202D" w:rsidRDefault="00E2202D" w:rsidP="00E2202D">
      <w:pPr>
        <w:pStyle w:val="HWLELvl2"/>
        <w:jc w:val="both"/>
      </w:pPr>
      <w:r w:rsidRPr="001A012C">
        <w:t>Should you require any further information in relation to the above, please contact</w:t>
      </w:r>
      <w:r w:rsidR="00A30767">
        <w:t xml:space="preserve"> [</w:t>
      </w:r>
      <w:r w:rsidR="00A30767" w:rsidRPr="00A30767">
        <w:rPr>
          <w:highlight w:val="yellow"/>
        </w:rPr>
        <w:t>Insert Contact Person</w:t>
      </w:r>
      <w:r w:rsidR="00A30767">
        <w:t>]</w:t>
      </w:r>
      <w:r w:rsidRPr="001A012C">
        <w:t xml:space="preserve">. </w:t>
      </w:r>
    </w:p>
    <w:p w:rsidR="00E2202D" w:rsidRDefault="00E2202D" w:rsidP="00E2202D">
      <w:pPr>
        <w:pStyle w:val="HWLELvl2"/>
        <w:numPr>
          <w:ilvl w:val="0"/>
          <w:numId w:val="0"/>
        </w:numPr>
        <w:ind w:left="709"/>
        <w:jc w:val="both"/>
      </w:pPr>
    </w:p>
    <w:p w:rsidR="00E2202D" w:rsidRPr="001A012C" w:rsidRDefault="00E2202D" w:rsidP="00E2202D">
      <w:pPr>
        <w:pStyle w:val="HWLEBodyText"/>
        <w:keepNext/>
      </w:pPr>
      <w:r w:rsidRPr="001A012C">
        <w:t>We look forward to your response.</w:t>
      </w:r>
    </w:p>
    <w:p w:rsidR="00A30767" w:rsidRDefault="00A30767" w:rsidP="00E2202D">
      <w:pPr>
        <w:keepNext/>
        <w:rPr>
          <w:sz w:val="22"/>
        </w:rPr>
      </w:pPr>
    </w:p>
    <w:p w:rsidR="00E2202D" w:rsidRPr="00A30767" w:rsidRDefault="00E2202D" w:rsidP="00E2202D">
      <w:pPr>
        <w:keepNext/>
        <w:rPr>
          <w:sz w:val="22"/>
        </w:rPr>
      </w:pPr>
      <w:r w:rsidRPr="00A30767">
        <w:rPr>
          <w:sz w:val="22"/>
        </w:rPr>
        <w:t>Yours sincerely</w:t>
      </w:r>
    </w:p>
    <w:p w:rsidR="00E2202D" w:rsidRPr="00A30767" w:rsidRDefault="00E2202D" w:rsidP="00E2202D">
      <w:pPr>
        <w:keepNext/>
        <w:rPr>
          <w:sz w:val="22"/>
        </w:rPr>
      </w:pPr>
    </w:p>
    <w:p w:rsidR="00E2202D" w:rsidRPr="00A30767" w:rsidRDefault="00E2202D" w:rsidP="00E2202D">
      <w:pPr>
        <w:keepNext/>
        <w:rPr>
          <w:sz w:val="22"/>
        </w:rPr>
      </w:pPr>
    </w:p>
    <w:p w:rsidR="00E2202D" w:rsidRPr="00A30767" w:rsidRDefault="00E2202D" w:rsidP="00E2202D">
      <w:pPr>
        <w:keepNext/>
        <w:rPr>
          <w:sz w:val="22"/>
        </w:rPr>
      </w:pPr>
    </w:p>
    <w:p w:rsidR="00E2202D" w:rsidRPr="00A30767" w:rsidRDefault="00E2202D" w:rsidP="00E2202D">
      <w:pPr>
        <w:keepNext/>
        <w:rPr>
          <w:sz w:val="22"/>
        </w:rPr>
      </w:pPr>
    </w:p>
    <w:tbl>
      <w:tblPr>
        <w:tblW w:w="0" w:type="auto"/>
        <w:tblLayout w:type="fixed"/>
        <w:tblLook w:val="04A0" w:firstRow="1" w:lastRow="0" w:firstColumn="1" w:lastColumn="0" w:noHBand="0" w:noVBand="1"/>
      </w:tblPr>
      <w:tblGrid>
        <w:gridCol w:w="4236"/>
        <w:gridCol w:w="4236"/>
      </w:tblGrid>
      <w:tr w:rsidR="00E2202D" w:rsidRPr="00A30767" w:rsidTr="002B7396">
        <w:tc>
          <w:tcPr>
            <w:tcW w:w="4236" w:type="dxa"/>
            <w:shd w:val="clear" w:color="auto" w:fill="auto"/>
          </w:tcPr>
          <w:p w:rsidR="00E2202D" w:rsidRPr="00A30767" w:rsidRDefault="00A30767" w:rsidP="002B7396">
            <w:pPr>
              <w:keepNext/>
              <w:rPr>
                <w:sz w:val="22"/>
              </w:rPr>
            </w:pPr>
            <w:r>
              <w:rPr>
                <w:b/>
                <w:sz w:val="22"/>
              </w:rPr>
              <w:t>[</w:t>
            </w:r>
            <w:r w:rsidR="002E767A" w:rsidRPr="002E767A">
              <w:rPr>
                <w:b/>
                <w:sz w:val="22"/>
                <w:highlight w:val="yellow"/>
              </w:rPr>
              <w:t>Director/ Company Secretary Name</w:t>
            </w:r>
            <w:r w:rsidR="002E767A">
              <w:rPr>
                <w:b/>
                <w:sz w:val="22"/>
              </w:rPr>
              <w:t>]</w:t>
            </w:r>
            <w:r w:rsidR="00E2202D" w:rsidRPr="00A30767">
              <w:rPr>
                <w:b/>
                <w:sz w:val="22"/>
              </w:rPr>
              <w:br/>
            </w:r>
            <w:r w:rsidR="002E767A">
              <w:rPr>
                <w:sz w:val="22"/>
              </w:rPr>
              <w:t>[</w:t>
            </w:r>
            <w:r w:rsidR="002E767A" w:rsidRPr="002E767A">
              <w:rPr>
                <w:sz w:val="22"/>
                <w:highlight w:val="yellow"/>
              </w:rPr>
              <w:t>Title</w:t>
            </w:r>
            <w:r w:rsidR="002E767A">
              <w:rPr>
                <w:sz w:val="22"/>
              </w:rPr>
              <w:t>]</w:t>
            </w:r>
          </w:p>
          <w:p w:rsidR="00E2202D" w:rsidRPr="00A30767" w:rsidRDefault="00E2202D" w:rsidP="002B7396">
            <w:pPr>
              <w:keepNext/>
              <w:rPr>
                <w:sz w:val="22"/>
              </w:rPr>
            </w:pPr>
          </w:p>
          <w:p w:rsidR="00E2202D" w:rsidRPr="00A30767" w:rsidRDefault="00E2202D" w:rsidP="002B7396">
            <w:pPr>
              <w:keepNext/>
              <w:rPr>
                <w:sz w:val="22"/>
              </w:rPr>
            </w:pPr>
            <w:bookmarkStart w:id="16" w:name="Signoff_1"/>
            <w:bookmarkEnd w:id="16"/>
          </w:p>
          <w:p w:rsidR="002E767A" w:rsidRDefault="002E767A" w:rsidP="002B7396">
            <w:pPr>
              <w:keepNext/>
              <w:rPr>
                <w:sz w:val="22"/>
              </w:rPr>
            </w:pPr>
            <w:r>
              <w:rPr>
                <w:sz w:val="22"/>
              </w:rPr>
              <w:t>p. [</w:t>
            </w:r>
            <w:r w:rsidRPr="002E767A">
              <w:rPr>
                <w:sz w:val="22"/>
                <w:highlight w:val="yellow"/>
              </w:rPr>
              <w:t>#</w:t>
            </w:r>
            <w:r>
              <w:rPr>
                <w:sz w:val="22"/>
              </w:rPr>
              <w:t>]</w:t>
            </w:r>
          </w:p>
          <w:p w:rsidR="00E2202D" w:rsidRPr="00A30767" w:rsidRDefault="002E767A" w:rsidP="002B7396">
            <w:pPr>
              <w:keepNext/>
              <w:rPr>
                <w:sz w:val="22"/>
              </w:rPr>
            </w:pPr>
            <w:r>
              <w:rPr>
                <w:sz w:val="22"/>
              </w:rPr>
              <w:t>e. [</w:t>
            </w:r>
            <w:r w:rsidRPr="002E767A">
              <w:rPr>
                <w:sz w:val="22"/>
                <w:highlight w:val="yellow"/>
              </w:rPr>
              <w:t>Insert</w:t>
            </w:r>
            <w:r>
              <w:rPr>
                <w:sz w:val="22"/>
              </w:rPr>
              <w:t>]</w:t>
            </w:r>
          </w:p>
        </w:tc>
        <w:tc>
          <w:tcPr>
            <w:tcW w:w="4236" w:type="dxa"/>
            <w:shd w:val="clear" w:color="auto" w:fill="auto"/>
          </w:tcPr>
          <w:p w:rsidR="00E2202D" w:rsidRPr="00A30767" w:rsidRDefault="00E2202D" w:rsidP="002B7396">
            <w:pPr>
              <w:keepNext/>
              <w:rPr>
                <w:sz w:val="22"/>
              </w:rPr>
            </w:pPr>
          </w:p>
        </w:tc>
      </w:tr>
    </w:tbl>
    <w:p w:rsidR="00E2202D" w:rsidRPr="001A012C" w:rsidRDefault="00E2202D" w:rsidP="00E2202D"/>
    <w:p w:rsidR="00E2202D" w:rsidRPr="001A012C" w:rsidRDefault="00E2202D" w:rsidP="00E2202D">
      <w:pPr>
        <w:pStyle w:val="HWLEBodyText"/>
      </w:pPr>
    </w:p>
    <w:p w:rsidR="00B5624A" w:rsidRDefault="00720E98"/>
    <w:sectPr w:rsidR="00B5624A" w:rsidSect="0006446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09" w:footer="678" w:gutter="0"/>
      <w:paperSrc w:first="3"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98" w:rsidRDefault="00720E98" w:rsidP="00E2202D">
      <w:pPr>
        <w:spacing w:line="240" w:lineRule="auto"/>
      </w:pPr>
      <w:r>
        <w:separator/>
      </w:r>
    </w:p>
  </w:endnote>
  <w:endnote w:type="continuationSeparator" w:id="0">
    <w:p w:rsidR="00720E98" w:rsidRDefault="00720E98" w:rsidP="00E22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iDocIDField709685f4-7dae-4ed2-b572-0f32"/>
  <w:p w:rsidR="0023664B" w:rsidRDefault="00720E98">
    <w:pPr>
      <w:pStyle w:val="DocID"/>
    </w:pPr>
    <w:r>
      <w:fldChar w:fldCharType="begin"/>
    </w:r>
    <w:r>
      <w:instrText xml:space="preserve">  DOCPROPERTY "CUS_DocIDChunk0" </w:instrText>
    </w:r>
    <w:r>
      <w:fldChar w:fldCharType="separate"/>
    </w:r>
    <w:r>
      <w:t>Doc ID 329220223/v1</w:t>
    </w:r>
    <w:r>
      <w:fldChar w:fldCharType="end"/>
    </w:r>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ED8" w:rsidRDefault="00670ED8" w:rsidP="00670ED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4B" w:rsidRDefault="00720E98" w:rsidP="005600A2">
    <w:pPr>
      <w:pStyle w:val="Footer"/>
      <w:jc w:val="right"/>
    </w:pPr>
    <w:r>
      <w:t xml:space="preserve">Page </w:t>
    </w:r>
    <w:r>
      <w:fldChar w:fldCharType="begin"/>
    </w:r>
    <w:r>
      <w:instrText xml:space="preserve"> PAGE   \* MERGEFORMAT </w:instrText>
    </w:r>
    <w:r>
      <w:fldChar w:fldCharType="separate"/>
    </w:r>
    <w:r w:rsidR="00670ED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98" w:rsidRDefault="00720E98" w:rsidP="00E2202D">
      <w:pPr>
        <w:spacing w:line="240" w:lineRule="auto"/>
      </w:pPr>
      <w:r>
        <w:separator/>
      </w:r>
    </w:p>
  </w:footnote>
  <w:footnote w:type="continuationSeparator" w:id="0">
    <w:p w:rsidR="00720E98" w:rsidRDefault="00720E98" w:rsidP="00E22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9C" w:rsidRDefault="00720E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222" o:spid="_x0000_s2050" type="#_x0000_t136" style="position:absolute;margin-left:0;margin-top:0;width:428.2pt;height:171.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9C" w:rsidRDefault="00720E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223" o:spid="_x0000_s2051" type="#_x0000_t136" style="position:absolute;margin-left:0;margin-top:0;width:428.2pt;height:17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9C" w:rsidRPr="00051CFD" w:rsidRDefault="00720E98" w:rsidP="00051CFD">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221"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51CFD">
      <w:rPr>
        <w:b/>
      </w:rPr>
      <w:t>[</w:t>
    </w:r>
    <w:r w:rsidR="00051CFD" w:rsidRPr="00051CFD">
      <w:rPr>
        <w:b/>
        <w:highlight w:val="yellow"/>
      </w:rPr>
      <w:t>Insert Company Letterhead</w:t>
    </w:r>
    <w:r w:rsidR="00051CFD">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149"/>
    <w:multiLevelType w:val="multilevel"/>
    <w:tmpl w:val="0FFEEA56"/>
    <w:lvl w:ilvl="0">
      <w:start w:val="1"/>
      <w:numFmt w:val="decimal"/>
      <w:pStyle w:val="HWLELvl1"/>
      <w:lvlText w:val="%1."/>
      <w:lvlJc w:val="left"/>
      <w:pPr>
        <w:tabs>
          <w:tab w:val="num" w:pos="709"/>
        </w:tabs>
        <w:ind w:left="709" w:hanging="709"/>
      </w:pPr>
      <w:rPr>
        <w:rFonts w:ascii="Arial" w:hAnsi="Arial" w:cs="Times New Roman" w:hint="default"/>
        <w:b w:val="0"/>
        <w:i w:val="0"/>
        <w:color w:val="auto"/>
        <w:sz w:val="20"/>
      </w:rPr>
    </w:lvl>
    <w:lvl w:ilvl="1">
      <w:start w:val="1"/>
      <w:numFmt w:val="decimal"/>
      <w:pStyle w:val="HWLELvl2"/>
      <w:lvlText w:val="%1.%2"/>
      <w:lvlJc w:val="left"/>
      <w:pPr>
        <w:tabs>
          <w:tab w:val="num" w:pos="709"/>
        </w:tabs>
        <w:ind w:left="709" w:hanging="709"/>
      </w:pPr>
      <w:rPr>
        <w:rFonts w:ascii="Arial" w:hAnsi="Arial" w:cs="Times New Roman" w:hint="default"/>
        <w:b w:val="0"/>
        <w:i w:val="0"/>
        <w:color w:val="auto"/>
        <w:sz w:val="20"/>
      </w:rPr>
    </w:lvl>
    <w:lvl w:ilvl="2">
      <w:start w:val="1"/>
      <w:numFmt w:val="lowerLetter"/>
      <w:pStyle w:val="HWLELvl3"/>
      <w:lvlText w:val="(%3)"/>
      <w:lvlJc w:val="left"/>
      <w:pPr>
        <w:tabs>
          <w:tab w:val="num" w:pos="1418"/>
        </w:tabs>
        <w:ind w:left="1418" w:hanging="709"/>
      </w:pPr>
      <w:rPr>
        <w:rFonts w:ascii="Arial" w:hAnsi="Arial" w:cs="Arial" w:hint="default"/>
        <w:b w:val="0"/>
        <w:bCs w:val="0"/>
        <w:i w:val="0"/>
        <w:iCs w:val="0"/>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pStyle w:val="HWLELvl5"/>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2D"/>
    <w:rsid w:val="00037A3F"/>
    <w:rsid w:val="00051CFD"/>
    <w:rsid w:val="002E767A"/>
    <w:rsid w:val="00670ED8"/>
    <w:rsid w:val="006E3016"/>
    <w:rsid w:val="00720E98"/>
    <w:rsid w:val="00A30767"/>
    <w:rsid w:val="00C762E8"/>
    <w:rsid w:val="00CD14C1"/>
    <w:rsid w:val="00CD3893"/>
    <w:rsid w:val="00E22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580E6"/>
  <w15:chartTrackingRefBased/>
  <w15:docId w15:val="{E6B05CE1-B32F-4B90-8A62-7BE997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202D"/>
    <w:pPr>
      <w:spacing w:after="0" w:line="260" w:lineRule="atLeast"/>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LEBodyTextChar">
    <w:name w:val="HWLE Body Text Char"/>
    <w:link w:val="HWLEBodyText"/>
    <w:rsid w:val="00E2202D"/>
    <w:rPr>
      <w:rFonts w:ascii="Arial" w:hAnsi="Arial" w:cs="Arial"/>
    </w:rPr>
  </w:style>
  <w:style w:type="paragraph" w:customStyle="1" w:styleId="HWLELvl1">
    <w:name w:val="HWLE Lvl 1"/>
    <w:basedOn w:val="Normal"/>
    <w:qFormat/>
    <w:rsid w:val="00E2202D"/>
    <w:pPr>
      <w:numPr>
        <w:numId w:val="1"/>
      </w:numPr>
      <w:spacing w:before="240" w:after="240"/>
      <w:outlineLvl w:val="0"/>
    </w:pPr>
    <w:rPr>
      <w:rFonts w:cs="Arial Bold"/>
      <w:bCs/>
      <w:szCs w:val="24"/>
    </w:rPr>
  </w:style>
  <w:style w:type="paragraph" w:customStyle="1" w:styleId="HWLELvl2">
    <w:name w:val="HWLE Lvl 2"/>
    <w:basedOn w:val="Normal"/>
    <w:qFormat/>
    <w:rsid w:val="00E2202D"/>
    <w:pPr>
      <w:numPr>
        <w:ilvl w:val="1"/>
        <w:numId w:val="1"/>
      </w:numPr>
      <w:spacing w:before="240" w:after="240"/>
      <w:outlineLvl w:val="1"/>
    </w:pPr>
    <w:rPr>
      <w:bCs/>
    </w:rPr>
  </w:style>
  <w:style w:type="paragraph" w:customStyle="1" w:styleId="HWLELvl3">
    <w:name w:val="HWLE Lvl 3"/>
    <w:basedOn w:val="Normal"/>
    <w:qFormat/>
    <w:rsid w:val="00E2202D"/>
    <w:pPr>
      <w:numPr>
        <w:ilvl w:val="2"/>
        <w:numId w:val="1"/>
      </w:numPr>
      <w:spacing w:before="240" w:after="240"/>
      <w:outlineLvl w:val="2"/>
    </w:pPr>
  </w:style>
  <w:style w:type="paragraph" w:customStyle="1" w:styleId="HWLELvl4">
    <w:name w:val="HWLE Lvl 4"/>
    <w:basedOn w:val="Normal"/>
    <w:qFormat/>
    <w:rsid w:val="00E2202D"/>
    <w:pPr>
      <w:numPr>
        <w:ilvl w:val="3"/>
        <w:numId w:val="1"/>
      </w:numPr>
      <w:spacing w:before="240" w:after="240"/>
      <w:outlineLvl w:val="3"/>
    </w:pPr>
  </w:style>
  <w:style w:type="paragraph" w:customStyle="1" w:styleId="HWLELvl5">
    <w:name w:val="HWLE Lvl 5"/>
    <w:basedOn w:val="Normal"/>
    <w:qFormat/>
    <w:rsid w:val="00E2202D"/>
    <w:pPr>
      <w:numPr>
        <w:ilvl w:val="4"/>
        <w:numId w:val="1"/>
      </w:numPr>
      <w:spacing w:before="240" w:after="240"/>
      <w:outlineLvl w:val="4"/>
    </w:pPr>
  </w:style>
  <w:style w:type="paragraph" w:customStyle="1" w:styleId="HWLEBodyText">
    <w:name w:val="HWLE Body Text"/>
    <w:basedOn w:val="Normal"/>
    <w:link w:val="HWLEBodyTextChar"/>
    <w:qFormat/>
    <w:rsid w:val="00E2202D"/>
    <w:pPr>
      <w:spacing w:before="240" w:after="240"/>
    </w:pPr>
    <w:rPr>
      <w:rFonts w:eastAsiaTheme="minorHAnsi"/>
      <w:sz w:val="22"/>
      <w:szCs w:val="22"/>
    </w:rPr>
  </w:style>
  <w:style w:type="paragraph" w:styleId="Footer">
    <w:name w:val="footer"/>
    <w:basedOn w:val="Normal"/>
    <w:link w:val="FooterChar"/>
    <w:uiPriority w:val="99"/>
    <w:rsid w:val="00E2202D"/>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uiPriority w:val="99"/>
    <w:rsid w:val="00E2202D"/>
    <w:rPr>
      <w:rFonts w:ascii="Arial" w:eastAsia="Times New Roman" w:hAnsi="Arial" w:cs="Arial"/>
      <w:sz w:val="14"/>
      <w:szCs w:val="20"/>
    </w:rPr>
  </w:style>
  <w:style w:type="paragraph" w:styleId="Header">
    <w:name w:val="header"/>
    <w:basedOn w:val="Normal"/>
    <w:link w:val="HeaderChar"/>
    <w:rsid w:val="00E2202D"/>
    <w:pPr>
      <w:tabs>
        <w:tab w:val="center" w:pos="4253"/>
        <w:tab w:val="right" w:pos="8505"/>
      </w:tabs>
      <w:spacing w:line="240" w:lineRule="auto"/>
    </w:pPr>
    <w:rPr>
      <w:sz w:val="18"/>
    </w:rPr>
  </w:style>
  <w:style w:type="character" w:customStyle="1" w:styleId="HeaderChar">
    <w:name w:val="Header Char"/>
    <w:basedOn w:val="DefaultParagraphFont"/>
    <w:link w:val="Header"/>
    <w:rsid w:val="00E2202D"/>
    <w:rPr>
      <w:rFonts w:ascii="Arial" w:eastAsia="Times New Roman" w:hAnsi="Arial" w:cs="Arial"/>
      <w:sz w:val="18"/>
      <w:szCs w:val="20"/>
    </w:rPr>
  </w:style>
  <w:style w:type="character" w:styleId="Hyperlink">
    <w:name w:val="Hyperlink"/>
    <w:uiPriority w:val="99"/>
    <w:rsid w:val="00E2202D"/>
    <w:rPr>
      <w:rFonts w:cs="Times New Roman"/>
      <w:b/>
      <w:color w:val="auto"/>
      <w:u w:val="single"/>
    </w:rPr>
  </w:style>
  <w:style w:type="paragraph" w:customStyle="1" w:styleId="HWLELvl6">
    <w:name w:val="HWLE Lvl 6"/>
    <w:basedOn w:val="Normal"/>
    <w:qFormat/>
    <w:rsid w:val="00E2202D"/>
    <w:pPr>
      <w:numPr>
        <w:ilvl w:val="5"/>
        <w:numId w:val="1"/>
      </w:numPr>
      <w:spacing w:before="240" w:after="240"/>
      <w:outlineLvl w:val="5"/>
    </w:pPr>
  </w:style>
  <w:style w:type="paragraph" w:customStyle="1" w:styleId="DocID">
    <w:name w:val="DocID"/>
    <w:basedOn w:val="Footer"/>
    <w:next w:val="Footer"/>
    <w:link w:val="DocIDChar"/>
    <w:rsid w:val="00E2202D"/>
    <w:pPr>
      <w:tabs>
        <w:tab w:val="clear" w:pos="4253"/>
        <w:tab w:val="clear" w:pos="8505"/>
      </w:tabs>
    </w:pPr>
  </w:style>
  <w:style w:type="paragraph" w:styleId="Date">
    <w:name w:val="Date"/>
    <w:basedOn w:val="Normal"/>
    <w:next w:val="Normal"/>
    <w:link w:val="DateChar"/>
    <w:uiPriority w:val="99"/>
    <w:unhideWhenUsed/>
    <w:rsid w:val="00E2202D"/>
  </w:style>
  <w:style w:type="character" w:customStyle="1" w:styleId="DateChar">
    <w:name w:val="Date Char"/>
    <w:basedOn w:val="DefaultParagraphFont"/>
    <w:link w:val="Date"/>
    <w:uiPriority w:val="99"/>
    <w:rsid w:val="00E2202D"/>
    <w:rPr>
      <w:rFonts w:ascii="Arial" w:eastAsia="Times New Roman" w:hAnsi="Arial" w:cs="Arial"/>
      <w:sz w:val="20"/>
      <w:szCs w:val="20"/>
    </w:rPr>
  </w:style>
  <w:style w:type="paragraph" w:customStyle="1" w:styleId="HWLEOurRef">
    <w:name w:val="HWLE Our Ref"/>
    <w:basedOn w:val="Normal"/>
    <w:next w:val="Normal"/>
    <w:qFormat/>
    <w:rsid w:val="00E2202D"/>
    <w:pPr>
      <w:spacing w:before="240"/>
      <w:ind w:left="851" w:hanging="851"/>
    </w:pPr>
    <w:rPr>
      <w:sz w:val="16"/>
      <w:szCs w:val="16"/>
    </w:rPr>
  </w:style>
  <w:style w:type="paragraph" w:customStyle="1" w:styleId="HWLEYourRef">
    <w:name w:val="HWLE Your Ref"/>
    <w:basedOn w:val="Normal"/>
    <w:next w:val="Normal"/>
    <w:qFormat/>
    <w:rsid w:val="00E2202D"/>
    <w:pPr>
      <w:ind w:left="851" w:hanging="851"/>
    </w:pPr>
    <w:rPr>
      <w:sz w:val="16"/>
    </w:rPr>
  </w:style>
  <w:style w:type="character" w:customStyle="1" w:styleId="DocIDChar">
    <w:name w:val="DocID Char"/>
    <w:link w:val="DocID"/>
    <w:rsid w:val="00E2202D"/>
    <w:rPr>
      <w:rFonts w:ascii="Arial" w:eastAsia="Times New Roman" w:hAnsi="Arial" w:cs="Arial"/>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Tharun Kuppanda</dc:creator>
  <cp:keywords/>
  <dc:description/>
  <cp:lastModifiedBy>Tharun Kuppanda</cp:lastModifiedBy>
  <cp:revision>3</cp:revision>
  <dcterms:created xsi:type="dcterms:W3CDTF">2017-05-24T01:04:00Z</dcterms:created>
  <dcterms:modified xsi:type="dcterms:W3CDTF">2017-05-24T01:13:00Z</dcterms:modified>
</cp:coreProperties>
</file>